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B11528" w14:textId="22518C2F" w:rsidR="00EC4DB5" w:rsidRPr="00875F4A" w:rsidRDefault="00BF3B13">
      <w:pPr>
        <w:rPr>
          <w:rFonts w:ascii="Comic Sans MS" w:hAnsi="Comic Sans MS"/>
          <w:b/>
          <w:u w:val="single"/>
        </w:rPr>
      </w:pPr>
      <w:bookmarkStart w:id="0" w:name="_GoBack"/>
      <w:bookmarkEnd w:id="0"/>
      <w:r>
        <w:rPr>
          <w:rFonts w:ascii="Comic Sans MS" w:hAnsi="Comic Sans MS"/>
          <w:b/>
          <w:u w:val="single"/>
        </w:rPr>
        <w:t>Le TURPE, un tarif censé couvrir les coûts de l’acheminement électrique</w:t>
      </w:r>
    </w:p>
    <w:p w14:paraId="1E856DE9" w14:textId="77777777" w:rsidR="00875F4A" w:rsidRPr="00875F4A" w:rsidRDefault="00875F4A">
      <w:pPr>
        <w:rPr>
          <w:rFonts w:ascii="Comic Sans MS" w:hAnsi="Comic Sans MS"/>
        </w:rPr>
      </w:pPr>
    </w:p>
    <w:p w14:paraId="6FE90532" w14:textId="7A09AE73" w:rsidR="00875F4A" w:rsidRDefault="00BF3B13">
      <w:pPr>
        <w:rPr>
          <w:rFonts w:ascii="Comic Sans MS" w:hAnsi="Comic Sans MS"/>
        </w:rPr>
      </w:pPr>
      <w:r>
        <w:rPr>
          <w:rFonts w:ascii="Comic Sans MS" w:hAnsi="Comic Sans MS"/>
        </w:rPr>
        <w:t>La loi du 10 février 2000 prescri</w:t>
      </w:r>
      <w:r w:rsidR="00EA505F">
        <w:rPr>
          <w:rFonts w:ascii="Comic Sans MS" w:hAnsi="Comic Sans MS"/>
        </w:rPr>
        <w:t>t de calculer le TURPE au vu de l’ensemble des</w:t>
      </w:r>
      <w:r>
        <w:rPr>
          <w:rFonts w:ascii="Comic Sans MS" w:hAnsi="Comic Sans MS"/>
        </w:rPr>
        <w:t xml:space="preserve"> coûts</w:t>
      </w:r>
      <w:r w:rsidR="0076711E">
        <w:rPr>
          <w:rFonts w:ascii="Comic Sans MS" w:hAnsi="Comic Sans MS"/>
        </w:rPr>
        <w:t xml:space="preserve"> engagés par le distributeur, parmi lesquels la rémunération des capitaux investis.</w:t>
      </w:r>
    </w:p>
    <w:p w14:paraId="6F228C0E" w14:textId="77777777" w:rsidR="0076711E" w:rsidRDefault="0076711E">
      <w:pPr>
        <w:rPr>
          <w:rFonts w:ascii="Comic Sans MS" w:hAnsi="Comic Sans MS"/>
        </w:rPr>
      </w:pPr>
    </w:p>
    <w:p w14:paraId="1B63FAD6" w14:textId="3BAED3F8" w:rsidR="0076711E" w:rsidRDefault="0076711E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Le schéma ci-après expose les grandes masses financières retenues en 2009 par la CRE </w:t>
      </w:r>
      <w:r w:rsidR="00EA505F">
        <w:rPr>
          <w:rFonts w:ascii="Comic Sans MS" w:hAnsi="Comic Sans MS"/>
        </w:rPr>
        <w:t>pour définir le niveau de</w:t>
      </w:r>
      <w:r>
        <w:rPr>
          <w:rFonts w:ascii="Comic Sans MS" w:hAnsi="Comic Sans MS"/>
        </w:rPr>
        <w:t xml:space="preserve"> TURPE 3 :</w:t>
      </w:r>
    </w:p>
    <w:p w14:paraId="659AA00F" w14:textId="77777777" w:rsidR="0076711E" w:rsidRDefault="0076711E">
      <w:pPr>
        <w:rPr>
          <w:rFonts w:ascii="Comic Sans MS" w:hAnsi="Comic Sans MS"/>
        </w:rPr>
      </w:pPr>
    </w:p>
    <w:p w14:paraId="7D166EF0" w14:textId="282C2510" w:rsidR="0076711E" w:rsidRDefault="0076711E" w:rsidP="0076711E">
      <w:pPr>
        <w:jc w:val="center"/>
        <w:rPr>
          <w:rFonts w:ascii="Comic Sans MS" w:hAnsi="Comic Sans MS"/>
        </w:rPr>
      </w:pPr>
      <w:r w:rsidRPr="0076711E">
        <w:rPr>
          <w:rFonts w:ascii="Comic Sans MS" w:hAnsi="Comic Sans MS"/>
          <w:noProof/>
        </w:rPr>
        <w:drawing>
          <wp:inline distT="0" distB="0" distL="0" distR="0" wp14:anchorId="4096AE2E" wp14:editId="0C4AE9A5">
            <wp:extent cx="3035935" cy="3875081"/>
            <wp:effectExtent l="0" t="0" r="12065" b="11430"/>
            <wp:docPr id="432136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2136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5935" cy="3875081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14:paraId="597935BD" w14:textId="7CADC4D1" w:rsidR="00875F4A" w:rsidRDefault="00875F4A" w:rsidP="003D3EC4">
      <w:pPr>
        <w:jc w:val="center"/>
        <w:rPr>
          <w:rFonts w:ascii="Comic Sans MS" w:hAnsi="Comic Sans MS"/>
        </w:rPr>
      </w:pPr>
    </w:p>
    <w:p w14:paraId="63A22FBD" w14:textId="77777777" w:rsidR="0076711E" w:rsidRDefault="0076711E" w:rsidP="003D3EC4">
      <w:pPr>
        <w:jc w:val="center"/>
        <w:rPr>
          <w:rFonts w:ascii="Comic Sans MS" w:hAnsi="Comic Sans MS"/>
        </w:rPr>
      </w:pPr>
    </w:p>
    <w:p w14:paraId="36DE8891" w14:textId="4099A9DF" w:rsidR="0076711E" w:rsidRDefault="0076711E" w:rsidP="0076711E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10,1 Mds € de dépenses annuelles doivent être </w:t>
      </w:r>
      <w:r w:rsidR="00EA505F">
        <w:rPr>
          <w:rFonts w:ascii="Comic Sans MS" w:hAnsi="Comic Sans MS"/>
        </w:rPr>
        <w:t>en moyenne</w:t>
      </w:r>
      <w:r>
        <w:rPr>
          <w:rFonts w:ascii="Comic Sans MS" w:hAnsi="Comic Sans MS"/>
        </w:rPr>
        <w:t xml:space="preserve"> couvertes à ERDF, parmi lesquelles :</w:t>
      </w:r>
    </w:p>
    <w:p w14:paraId="404D61E2" w14:textId="2DA2E3F6" w:rsidR="0076711E" w:rsidRPr="0076711E" w:rsidRDefault="0076711E" w:rsidP="0076711E">
      <w:pPr>
        <w:pStyle w:val="Paragraphedeliste"/>
        <w:numPr>
          <w:ilvl w:val="0"/>
          <w:numId w:val="2"/>
        </w:numPr>
        <w:rPr>
          <w:rFonts w:ascii="Comic Sans MS" w:hAnsi="Comic Sans MS"/>
        </w:rPr>
      </w:pPr>
      <w:r w:rsidRPr="0076711E">
        <w:rPr>
          <w:rFonts w:ascii="Comic Sans MS" w:hAnsi="Comic Sans MS"/>
        </w:rPr>
        <w:t>1,3 Md de rachat des pertes d’électricité sur le réseau,</w:t>
      </w:r>
    </w:p>
    <w:p w14:paraId="3E60625D" w14:textId="4A508826" w:rsidR="0076711E" w:rsidRDefault="0076711E" w:rsidP="0076711E">
      <w:pPr>
        <w:pStyle w:val="Paragraphedeliste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4,3 Mds € de charges d’exploitation (entretien, maintenance, …),</w:t>
      </w:r>
    </w:p>
    <w:p w14:paraId="59526DF0" w14:textId="4008119E" w:rsidR="0076711E" w:rsidRDefault="0076711E" w:rsidP="0076711E">
      <w:pPr>
        <w:pStyle w:val="Paragraphedeliste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1,6 Md € d’amortissement des investissements réalisés</w:t>
      </w:r>
    </w:p>
    <w:p w14:paraId="7B95E1E5" w14:textId="21D4AF92" w:rsidR="0076711E" w:rsidRPr="0076711E" w:rsidRDefault="0076711E" w:rsidP="0076711E">
      <w:pPr>
        <w:pStyle w:val="Paragraphedeliste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et 2,2 Mds € de rémunération des ressources mis en œuvre pour investir, sur une base de 40% de fonds propres coûtant 11% et de 60% de dettes coûtant 4,80%, soit un taux moyen pondéré de 7,25%.</w:t>
      </w:r>
    </w:p>
    <w:p w14:paraId="48934B7D" w14:textId="77777777" w:rsidR="0076711E" w:rsidRDefault="0076711E" w:rsidP="0076711E">
      <w:pPr>
        <w:rPr>
          <w:rFonts w:ascii="Comic Sans MS" w:hAnsi="Comic Sans MS"/>
        </w:rPr>
      </w:pPr>
    </w:p>
    <w:p w14:paraId="65773C2A" w14:textId="5C19FCF2" w:rsidR="0076711E" w:rsidRDefault="0076711E" w:rsidP="0076711E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Une fois défalquées 1,7 Md € de recettes annexes de l’entreprise (contributions des usagers à leur raccordement électrique, apports de collectivités, …), </w:t>
      </w:r>
      <w:r w:rsidR="00EA505F">
        <w:rPr>
          <w:rFonts w:ascii="Comic Sans MS" w:hAnsi="Comic Sans MS"/>
        </w:rPr>
        <w:t>subsiste un besoin de 8,4 Mds €/an, soit le TURPE</w:t>
      </w:r>
      <w:r>
        <w:rPr>
          <w:rFonts w:ascii="Comic Sans MS" w:hAnsi="Comic Sans MS"/>
        </w:rPr>
        <w:t>.</w:t>
      </w:r>
    </w:p>
    <w:p w14:paraId="2A4C08C7" w14:textId="77777777" w:rsidR="0076711E" w:rsidRDefault="0076711E" w:rsidP="0076711E">
      <w:pPr>
        <w:rPr>
          <w:rFonts w:ascii="Comic Sans MS" w:hAnsi="Comic Sans MS"/>
        </w:rPr>
      </w:pPr>
    </w:p>
    <w:p w14:paraId="2B9A4BB7" w14:textId="6D56B37E" w:rsidR="00F438F5" w:rsidRDefault="00F438F5" w:rsidP="0076711E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C’est sur les </w:t>
      </w:r>
      <w:r w:rsidR="0076711E">
        <w:rPr>
          <w:rFonts w:ascii="Comic Sans MS" w:hAnsi="Comic Sans MS"/>
        </w:rPr>
        <w:t xml:space="preserve">2,2 Mds € de rémunération des capitaux investis, constitutifs de plus du 1/4 du TURPE, </w:t>
      </w:r>
      <w:r>
        <w:rPr>
          <w:rFonts w:ascii="Comic Sans MS" w:hAnsi="Comic Sans MS"/>
        </w:rPr>
        <w:t>que portait un des volets du recours du SIPPEREC., au motif que, pour une part, ils ne recouvrent pas des dépenses effectives de l’entreprise.</w:t>
      </w:r>
    </w:p>
    <w:p w14:paraId="512EEEC7" w14:textId="4CCB3790" w:rsidR="0076711E" w:rsidRPr="0076711E" w:rsidRDefault="0076711E" w:rsidP="0076711E">
      <w:pPr>
        <w:rPr>
          <w:rFonts w:ascii="Comic Sans MS" w:hAnsi="Comic Sans MS"/>
        </w:rPr>
      </w:pPr>
      <w:r>
        <w:rPr>
          <w:rFonts w:ascii="Comic Sans MS" w:hAnsi="Comic Sans MS"/>
        </w:rPr>
        <w:t>Le Conseil d’Etat</w:t>
      </w:r>
      <w:r w:rsidR="00EA505F">
        <w:rPr>
          <w:rFonts w:ascii="Comic Sans MS" w:hAnsi="Comic Sans MS"/>
        </w:rPr>
        <w:t xml:space="preserve"> a donné raison au Syndicat, parlant de « méthode erronée en droit »</w:t>
      </w:r>
      <w:r w:rsidR="00F438F5">
        <w:rPr>
          <w:rFonts w:ascii="Comic Sans MS" w:hAnsi="Comic Sans MS"/>
        </w:rPr>
        <w:t>, donc d’irrespect de la loi de 2000,</w:t>
      </w:r>
      <w:r w:rsidR="00EA505F">
        <w:rPr>
          <w:rFonts w:ascii="Comic Sans MS" w:hAnsi="Comic Sans MS"/>
        </w:rPr>
        <w:t xml:space="preserve"> au sujet de l’évaluation de ces 2,2 Mds €.</w:t>
      </w:r>
    </w:p>
    <w:p w14:paraId="505B7D87" w14:textId="77777777" w:rsidR="0076711E" w:rsidRPr="00875F4A" w:rsidRDefault="0076711E" w:rsidP="003D3EC4">
      <w:pPr>
        <w:jc w:val="center"/>
        <w:rPr>
          <w:rFonts w:ascii="Comic Sans MS" w:hAnsi="Comic Sans MS"/>
        </w:rPr>
      </w:pPr>
    </w:p>
    <w:sectPr w:rsidR="0076711E" w:rsidRPr="00875F4A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B0472"/>
    <w:multiLevelType w:val="hybridMultilevel"/>
    <w:tmpl w:val="87681D28"/>
    <w:lvl w:ilvl="0" w:tplc="EC60A752">
      <w:numFmt w:val="bullet"/>
      <w:lvlText w:val="-"/>
      <w:lvlJc w:val="left"/>
      <w:pPr>
        <w:ind w:left="720" w:hanging="360"/>
      </w:pPr>
      <w:rPr>
        <w:rFonts w:ascii="Comic Sans MS" w:eastAsiaTheme="minorEastAsia" w:hAnsi="Comic Sans MS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0F5086"/>
    <w:multiLevelType w:val="hybridMultilevel"/>
    <w:tmpl w:val="09C8ADD2"/>
    <w:lvl w:ilvl="0" w:tplc="BB9A863A">
      <w:start w:val="10"/>
      <w:numFmt w:val="bullet"/>
      <w:lvlText w:val="-"/>
      <w:lvlJc w:val="left"/>
      <w:pPr>
        <w:ind w:left="720" w:hanging="360"/>
      </w:pPr>
      <w:rPr>
        <w:rFonts w:ascii="Comic Sans MS" w:eastAsiaTheme="minorEastAsia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F4A"/>
    <w:rsid w:val="000E3A39"/>
    <w:rsid w:val="002A3382"/>
    <w:rsid w:val="003D3EC4"/>
    <w:rsid w:val="0055305D"/>
    <w:rsid w:val="0076711E"/>
    <w:rsid w:val="00875F4A"/>
    <w:rsid w:val="00BF3B13"/>
    <w:rsid w:val="00EA505F"/>
    <w:rsid w:val="00EC4DB5"/>
    <w:rsid w:val="00F43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79847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75F4A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75F4A"/>
    <w:rPr>
      <w:rFonts w:ascii="Lucida Grande" w:hAnsi="Lucida Grande" w:cs="Lucida Grande"/>
      <w:sz w:val="18"/>
      <w:szCs w:val="18"/>
      <w:lang w:eastAsia="fr-FR"/>
    </w:rPr>
  </w:style>
  <w:style w:type="paragraph" w:styleId="Paragraphedeliste">
    <w:name w:val="List Paragraph"/>
    <w:basedOn w:val="Normal"/>
    <w:uiPriority w:val="34"/>
    <w:qFormat/>
    <w:rsid w:val="002A33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75F4A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75F4A"/>
    <w:rPr>
      <w:rFonts w:ascii="Lucida Grande" w:hAnsi="Lucida Grande" w:cs="Lucida Grande"/>
      <w:sz w:val="18"/>
      <w:szCs w:val="18"/>
      <w:lang w:eastAsia="fr-FR"/>
    </w:rPr>
  </w:style>
  <w:style w:type="paragraph" w:styleId="Paragraphedeliste">
    <w:name w:val="List Paragraph"/>
    <w:basedOn w:val="Normal"/>
    <w:uiPriority w:val="34"/>
    <w:qFormat/>
    <w:rsid w:val="002A33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223</Words>
  <Characters>1227</Characters>
  <Application>Microsoft Office Word</Application>
  <DocSecurity>0</DocSecurity>
  <Lines>10</Lines>
  <Paragraphs>2</Paragraphs>
  <ScaleCrop>false</ScaleCrop>
  <Company/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de Microsoft Office</dc:creator>
  <cp:lastModifiedBy>Magnum Force</cp:lastModifiedBy>
  <cp:revision>2</cp:revision>
  <dcterms:created xsi:type="dcterms:W3CDTF">2012-11-28T22:27:00Z</dcterms:created>
  <dcterms:modified xsi:type="dcterms:W3CDTF">2012-11-28T22:27:00Z</dcterms:modified>
</cp:coreProperties>
</file>