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11528" w14:textId="77777777" w:rsidR="00EC4DB5" w:rsidRPr="00875F4A" w:rsidRDefault="00875F4A">
      <w:pPr>
        <w:rPr>
          <w:rFonts w:ascii="Comic Sans MS" w:hAnsi="Comic Sans MS"/>
          <w:b/>
          <w:u w:val="single"/>
        </w:rPr>
      </w:pPr>
      <w:bookmarkStart w:id="0" w:name="_GoBack"/>
      <w:bookmarkEnd w:id="0"/>
      <w:r w:rsidRPr="00875F4A">
        <w:rPr>
          <w:rFonts w:ascii="Comic Sans MS" w:hAnsi="Comic Sans MS"/>
          <w:b/>
          <w:u w:val="single"/>
        </w:rPr>
        <w:t xml:space="preserve">La structure de financement d’ERDF : </w:t>
      </w:r>
      <w:r w:rsidR="003D3EC4">
        <w:rPr>
          <w:rFonts w:ascii="Comic Sans MS" w:hAnsi="Comic Sans MS"/>
          <w:b/>
          <w:u w:val="single"/>
        </w:rPr>
        <w:t>que dit le</w:t>
      </w:r>
      <w:r w:rsidRPr="00875F4A">
        <w:rPr>
          <w:rFonts w:ascii="Comic Sans MS" w:hAnsi="Comic Sans MS"/>
          <w:b/>
          <w:u w:val="single"/>
        </w:rPr>
        <w:t xml:space="preserve"> </w:t>
      </w:r>
      <w:r w:rsidR="003D3EC4">
        <w:rPr>
          <w:rFonts w:ascii="Comic Sans MS" w:hAnsi="Comic Sans MS"/>
          <w:b/>
          <w:u w:val="single"/>
        </w:rPr>
        <w:t>bilan de la société ?</w:t>
      </w:r>
    </w:p>
    <w:p w14:paraId="1E856DE9" w14:textId="77777777" w:rsidR="00875F4A" w:rsidRPr="00875F4A" w:rsidRDefault="00875F4A">
      <w:pPr>
        <w:rPr>
          <w:rFonts w:ascii="Comic Sans MS" w:hAnsi="Comic Sans MS"/>
        </w:rPr>
      </w:pPr>
    </w:p>
    <w:p w14:paraId="7FD636F8" w14:textId="77777777" w:rsidR="00875F4A" w:rsidRDefault="003D3EC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La </w:t>
      </w:r>
      <w:r w:rsidR="00875F4A">
        <w:rPr>
          <w:rFonts w:ascii="Comic Sans MS" w:hAnsi="Comic Sans MS"/>
        </w:rPr>
        <w:t xml:space="preserve">CRE considérait que les moyens de financement d’ERDF comprenaient 40% de fonds propres et 60% de dette, deux ressources indéniablement coûteuses, en dividendes ou en intérêts. </w:t>
      </w:r>
      <w:r>
        <w:rPr>
          <w:rFonts w:ascii="Comic Sans MS" w:hAnsi="Comic Sans MS"/>
        </w:rPr>
        <w:t>Sur la base d’un taux moyen de 7,25%, en</w:t>
      </w:r>
      <w:r w:rsidR="00875F4A">
        <w:rPr>
          <w:rFonts w:ascii="Comic Sans MS" w:hAnsi="Comic Sans MS"/>
        </w:rPr>
        <w:t xml:space="preserve"> découlait </w:t>
      </w:r>
      <w:r w:rsidR="0055305D">
        <w:rPr>
          <w:rFonts w:ascii="Comic Sans MS" w:hAnsi="Comic Sans MS"/>
        </w:rPr>
        <w:t>une</w:t>
      </w:r>
      <w:r w:rsidR="00875F4A">
        <w:rPr>
          <w:rFonts w:ascii="Comic Sans MS" w:hAnsi="Comic Sans MS"/>
        </w:rPr>
        <w:t xml:space="preserve"> rémunération de</w:t>
      </w:r>
      <w:r w:rsidR="0055305D">
        <w:rPr>
          <w:rFonts w:ascii="Comic Sans MS" w:hAnsi="Comic Sans MS"/>
        </w:rPr>
        <w:t xml:space="preserve"> 2,2 Mds €/an moyens, soit ¼ du TURPE.</w:t>
      </w:r>
    </w:p>
    <w:p w14:paraId="5807B231" w14:textId="77777777" w:rsidR="0055305D" w:rsidRDefault="0055305D">
      <w:pPr>
        <w:rPr>
          <w:rFonts w:ascii="Comic Sans MS" w:hAnsi="Comic Sans MS"/>
        </w:rPr>
      </w:pPr>
    </w:p>
    <w:p w14:paraId="3A4BE36F" w14:textId="77777777" w:rsidR="00875F4A" w:rsidRDefault="00875F4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Le CE, reprenant l’argumentation du SIPPEREC, a reproché à la CRE de ne pas avoir considéré la réalité des ressources d’ERDF, telle qu’elle ressort du bilan, au </w:t>
      </w:r>
      <w:r w:rsidR="0055305D">
        <w:rPr>
          <w:rFonts w:ascii="Comic Sans MS" w:hAnsi="Comic Sans MS"/>
        </w:rPr>
        <w:t>demeurant public, de la société, en particulier d’ignorer la spécificité française que constitue l’intervention de collectivités concédantes.</w:t>
      </w:r>
    </w:p>
    <w:p w14:paraId="0C60E6CE" w14:textId="77777777" w:rsidR="00875F4A" w:rsidRDefault="00875F4A">
      <w:pPr>
        <w:rPr>
          <w:rFonts w:ascii="Comic Sans MS" w:hAnsi="Comic Sans MS"/>
        </w:rPr>
      </w:pPr>
    </w:p>
    <w:p w14:paraId="7C831944" w14:textId="77777777" w:rsidR="00875F4A" w:rsidRDefault="00875F4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Ce bilan, et plus précisément son passif (autrement dit les ressources de financement des actifs) résumé ci-dessous, montre </w:t>
      </w:r>
      <w:r w:rsidR="003D3EC4">
        <w:rPr>
          <w:rFonts w:ascii="Comic Sans MS" w:hAnsi="Comic Sans MS"/>
        </w:rPr>
        <w:t xml:space="preserve">en effet </w:t>
      </w:r>
      <w:r>
        <w:rPr>
          <w:rFonts w:ascii="Comic Sans MS" w:hAnsi="Comic Sans MS"/>
        </w:rPr>
        <w:t>que :</w:t>
      </w:r>
    </w:p>
    <w:p w14:paraId="4C6D3AE4" w14:textId="77777777" w:rsidR="00875F4A" w:rsidRDefault="00875F4A">
      <w:pPr>
        <w:rPr>
          <w:rFonts w:ascii="Comic Sans MS" w:hAnsi="Comic Sans MS"/>
        </w:rPr>
      </w:pPr>
    </w:p>
    <w:p w14:paraId="157919F8" w14:textId="77777777" w:rsidR="00875F4A" w:rsidRPr="002A3382" w:rsidRDefault="002A3382" w:rsidP="002A3382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2A3382">
        <w:rPr>
          <w:rFonts w:ascii="Comic Sans MS" w:hAnsi="Comic Sans MS"/>
        </w:rPr>
        <w:t>ERDF n’a pas un euro de dettes financières, là où la CRE en voyait 60%,</w:t>
      </w:r>
    </w:p>
    <w:p w14:paraId="61E5EA1A" w14:textId="77777777" w:rsidR="002A3382" w:rsidRDefault="002A3382" w:rsidP="002A3382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Les fonds propres (3,5 Mds €), procurés par la maison-mère EDF, sont inférieurs à 10% des financements globaux.</w:t>
      </w:r>
    </w:p>
    <w:p w14:paraId="4C52CB53" w14:textId="77777777" w:rsidR="003D3EC4" w:rsidRDefault="003D3EC4" w:rsidP="003D3EC4">
      <w:pPr>
        <w:pStyle w:val="Paragraphedeliste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Au demeurant, ces 3,5 Mds € de fonds propres sont « rendus » à la maison-mère via 3,5 Mds € de trésorerie déposée chez celle-ci (cf. actif).</w:t>
      </w:r>
    </w:p>
    <w:p w14:paraId="1F4F0DDD" w14:textId="77777777" w:rsidR="002A3382" w:rsidRPr="002A3382" w:rsidRDefault="002A3382" w:rsidP="002A3382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L’essentiel des ressources consiste dans les « droits des concédants » et les « provisions pour renouvellement », </w:t>
      </w:r>
      <w:r w:rsidR="003D3EC4">
        <w:rPr>
          <w:rFonts w:ascii="Comic Sans MS" w:hAnsi="Comic Sans MS"/>
        </w:rPr>
        <w:t>en clair</w:t>
      </w:r>
      <w:r>
        <w:rPr>
          <w:rFonts w:ascii="Comic Sans MS" w:hAnsi="Comic Sans MS"/>
        </w:rPr>
        <w:t xml:space="preserve"> des sommes apportées par les collectivités locales et les usagers et qui ne coûtent donc rien en intérêts.</w:t>
      </w:r>
    </w:p>
    <w:p w14:paraId="36D3A18A" w14:textId="77777777" w:rsidR="00875F4A" w:rsidRDefault="00875F4A">
      <w:pPr>
        <w:rPr>
          <w:rFonts w:ascii="Comic Sans MS" w:hAnsi="Comic Sans MS"/>
        </w:rPr>
      </w:pPr>
    </w:p>
    <w:p w14:paraId="6FE90532" w14:textId="77777777" w:rsidR="00875F4A" w:rsidRDefault="00875F4A">
      <w:pPr>
        <w:rPr>
          <w:rFonts w:ascii="Comic Sans MS" w:hAnsi="Comic Sans MS"/>
        </w:rPr>
      </w:pPr>
    </w:p>
    <w:p w14:paraId="597935BD" w14:textId="77777777" w:rsidR="00875F4A" w:rsidRPr="00875F4A" w:rsidRDefault="00875F4A" w:rsidP="003D3EC4">
      <w:pPr>
        <w:jc w:val="center"/>
        <w:rPr>
          <w:rFonts w:ascii="Comic Sans MS" w:hAnsi="Comic Sans MS"/>
        </w:rPr>
      </w:pPr>
      <w:r w:rsidRPr="00875F4A">
        <w:rPr>
          <w:rFonts w:ascii="Comic Sans MS" w:hAnsi="Comic Sans MS"/>
          <w:noProof/>
        </w:rPr>
        <w:drawing>
          <wp:inline distT="0" distB="0" distL="0" distR="0" wp14:anchorId="1A0F8721" wp14:editId="60BFACF1">
            <wp:extent cx="3696335" cy="2946929"/>
            <wp:effectExtent l="0" t="0" r="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7996" cy="2948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5F4A" w:rsidRPr="00875F4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0472"/>
    <w:multiLevelType w:val="hybridMultilevel"/>
    <w:tmpl w:val="87681D28"/>
    <w:lvl w:ilvl="0" w:tplc="EC60A752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A"/>
    <w:rsid w:val="002A3382"/>
    <w:rsid w:val="003D3EC4"/>
    <w:rsid w:val="0055305D"/>
    <w:rsid w:val="00875F4A"/>
    <w:rsid w:val="008F5905"/>
    <w:rsid w:val="00EC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7984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5F4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5F4A"/>
    <w:rPr>
      <w:rFonts w:ascii="Lucida Grande" w:hAnsi="Lucida Grande" w:cs="Lucida Grande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2A33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5F4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5F4A"/>
    <w:rPr>
      <w:rFonts w:ascii="Lucida Grande" w:hAnsi="Lucida Grande" w:cs="Lucida Grande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2A3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Magnum Force</cp:lastModifiedBy>
  <cp:revision>2</cp:revision>
  <dcterms:created xsi:type="dcterms:W3CDTF">2012-11-28T22:27:00Z</dcterms:created>
  <dcterms:modified xsi:type="dcterms:W3CDTF">2012-11-28T22:27:00Z</dcterms:modified>
</cp:coreProperties>
</file>