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206"/>
      </w:tblGrid>
      <w:tr w:rsidR="00014A8E" w:rsidRPr="00014A8E" w:rsidTr="00014A8E">
        <w:tc>
          <w:tcPr>
            <w:tcW w:w="9206" w:type="dxa"/>
            <w:shd w:val="clear" w:color="auto" w:fill="FFFFFF"/>
            <w:tcMar>
              <w:top w:w="0" w:type="dxa"/>
              <w:left w:w="108" w:type="dxa"/>
              <w:bottom w:w="0" w:type="dxa"/>
              <w:right w:w="108" w:type="dxa"/>
            </w:tcMar>
          </w:tcPr>
          <w:p w:rsidR="00014A8E" w:rsidRPr="00014A8E" w:rsidRDefault="00014A8E" w:rsidP="00014A8E">
            <w:pPr>
              <w:spacing w:after="0" w:line="240" w:lineRule="auto"/>
              <w:jc w:val="center"/>
              <w:rPr>
                <w:rFonts w:ascii="Cambria" w:eastAsia="Times New Roman" w:hAnsi="Cambria" w:cs="Times New Roman"/>
                <w:color w:val="000000"/>
                <w:sz w:val="24"/>
                <w:szCs w:val="24"/>
                <w:lang w:eastAsia="fr-FR"/>
              </w:rPr>
            </w:pPr>
          </w:p>
        </w:tc>
      </w:tr>
      <w:tr w:rsidR="00014A8E" w:rsidRPr="00014A8E" w:rsidTr="00014A8E">
        <w:tc>
          <w:tcPr>
            <w:tcW w:w="9206" w:type="dxa"/>
            <w:shd w:val="clear" w:color="auto" w:fill="FFFFFF"/>
            <w:tcMar>
              <w:top w:w="0" w:type="dxa"/>
              <w:left w:w="108" w:type="dxa"/>
              <w:bottom w:w="0" w:type="dxa"/>
              <w:right w:w="108" w:type="dxa"/>
            </w:tcMar>
          </w:tcPr>
          <w:tbl>
            <w:tblPr>
              <w:tblW w:w="0" w:type="auto"/>
              <w:shd w:val="clear" w:color="auto" w:fill="FFFFFF"/>
              <w:tblCellMar>
                <w:left w:w="0" w:type="dxa"/>
                <w:right w:w="0" w:type="dxa"/>
              </w:tblCellMar>
              <w:tblLook w:val="04A0" w:firstRow="1" w:lastRow="0" w:firstColumn="1" w:lastColumn="0" w:noHBand="0" w:noVBand="1"/>
            </w:tblPr>
            <w:tblGrid>
              <w:gridCol w:w="8990"/>
            </w:tblGrid>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jc w:val="center"/>
                    <w:rPr>
                      <w:rFonts w:ascii="Cambria" w:eastAsia="Times New Roman" w:hAnsi="Cambria" w:cs="Times New Roman"/>
                      <w:sz w:val="24"/>
                      <w:szCs w:val="24"/>
                      <w:lang w:eastAsia="fr-FR"/>
                    </w:rPr>
                  </w:pPr>
                  <w:r>
                    <w:rPr>
                      <w:rFonts w:ascii="Cambria" w:eastAsia="Times New Roman" w:hAnsi="Cambria" w:cs="Times New Roman"/>
                      <w:noProof/>
                      <w:sz w:val="24"/>
                      <w:szCs w:val="24"/>
                      <w:lang w:eastAsia="fr-FR"/>
                    </w:rPr>
                    <w:drawing>
                      <wp:inline distT="0" distB="0" distL="0" distR="0">
                        <wp:extent cx="1609725" cy="704850"/>
                        <wp:effectExtent l="0" t="0" r="9525" b="0"/>
                        <wp:docPr id="2" name="Image 2" descr="Description : Macintosh HD:Users:llebourdonnec:Desktop:coni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Macintosh HD:Users:llebourdonnec:Desktop:conib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704850"/>
                                </a:xfrm>
                                <a:prstGeom prst="rect">
                                  <a:avLst/>
                                </a:prstGeom>
                                <a:noFill/>
                                <a:ln>
                                  <a:noFill/>
                                </a:ln>
                              </pic:spPr>
                            </pic:pic>
                          </a:graphicData>
                        </a:graphic>
                      </wp:inline>
                    </w:drawing>
                  </w:r>
                </w:p>
              </w:tc>
            </w:tr>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mbria" w:eastAsia="Times New Roman" w:hAnsi="Cambria" w:cs="Times New Roman"/>
                      <w:sz w:val="24"/>
                      <w:szCs w:val="24"/>
                      <w:lang w:eastAsia="fr-FR"/>
                    </w:rPr>
                    <w:t> </w:t>
                  </w:r>
                </w:p>
                <w:p w:rsidR="00014A8E" w:rsidRPr="00014A8E" w:rsidRDefault="00014A8E" w:rsidP="00014A8E">
                  <w:pPr>
                    <w:spacing w:after="0" w:line="240" w:lineRule="auto"/>
                    <w:jc w:val="center"/>
                    <w:rPr>
                      <w:rFonts w:ascii="Cambria" w:eastAsia="Times New Roman" w:hAnsi="Cambria" w:cs="Times New Roman"/>
                      <w:sz w:val="24"/>
                      <w:szCs w:val="24"/>
                      <w:lang w:eastAsia="fr-FR"/>
                    </w:rPr>
                  </w:pPr>
                  <w:r w:rsidRPr="00014A8E">
                    <w:rPr>
                      <w:rFonts w:ascii="Calibri" w:eastAsia="Times New Roman" w:hAnsi="Calibri" w:cs="Calibri"/>
                      <w:b/>
                      <w:bCs/>
                      <w:sz w:val="24"/>
                      <w:szCs w:val="24"/>
                      <w:lang w:eastAsia="fr-FR"/>
                    </w:rPr>
                    <w:t>Communiqué de presse</w:t>
                  </w:r>
                </w:p>
                <w:p w:rsidR="00014A8E" w:rsidRPr="00014A8E" w:rsidRDefault="00014A8E" w:rsidP="00014A8E">
                  <w:pPr>
                    <w:spacing w:after="0" w:line="240" w:lineRule="auto"/>
                    <w:jc w:val="center"/>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07 juillet 2015</w:t>
                  </w:r>
                </w:p>
              </w:tc>
            </w:tr>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32"/>
                      <w:szCs w:val="32"/>
                      <w:lang w:eastAsia="fr-FR"/>
                    </w:rPr>
                    <w:t>L’OCDE poursuit ses efforts pour réduire l’impact environnemental de ses impressions avec CONIBI</w:t>
                  </w:r>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 </w:t>
                  </w:r>
                </w:p>
              </w:tc>
            </w:tr>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4"/>
                      <w:szCs w:val="24"/>
                      <w:lang w:eastAsia="fr-FR"/>
                    </w:rPr>
                    <w:t xml:space="preserve">Ces 4 dernières années, l’OCDE (Organisation de Coopération et de Développement </w:t>
                  </w:r>
                  <w:proofErr w:type="spellStart"/>
                  <w:r w:rsidRPr="00014A8E">
                    <w:rPr>
                      <w:rFonts w:ascii="Calibri" w:eastAsia="Times New Roman" w:hAnsi="Calibri" w:cs="Calibri"/>
                      <w:b/>
                      <w:bCs/>
                      <w:color w:val="404040"/>
                      <w:sz w:val="24"/>
                      <w:szCs w:val="24"/>
                      <w:lang w:eastAsia="fr-FR"/>
                    </w:rPr>
                    <w:t>Economiques</w:t>
                  </w:r>
                  <w:proofErr w:type="spellEnd"/>
                  <w:r w:rsidRPr="00014A8E">
                    <w:rPr>
                      <w:rFonts w:ascii="Calibri" w:eastAsia="Times New Roman" w:hAnsi="Calibri" w:cs="Calibri"/>
                      <w:b/>
                      <w:bCs/>
                      <w:color w:val="404040"/>
                      <w:sz w:val="24"/>
                      <w:szCs w:val="24"/>
                      <w:lang w:eastAsia="fr-FR"/>
                    </w:rPr>
                    <w:t>), forum intergouvernemental composé de plus de 3000 personnes dont le siège social est à Paris, s’est engagée dans un vaste programme de développement durable, concernant l’ensemble de ses bâtiments et services. Parmi ses principaux objectifs, le renforcement du tri et de la valorisation de ses déchets s’est imposé comme un enjeu fort pour l’organisation. Elle a donc mis en place une série de mesures spécifiques et mène des actions de sensibilisation auprès de ses collaborateurs. Dans ce cadre, elle s’est rapprochée de CONIBI, consortium spécialisé dans le traitement des consommables d’impression usagés, avec qui elle entretient une relation pérenne et gagnante.</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8"/>
                      <w:szCs w:val="28"/>
                      <w:lang w:eastAsia="fr-FR"/>
                    </w:rPr>
                    <w:t>Mieux gérer ses déchets : une priorité de chaque instant</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Consciente de l’importance de montrer l’exemple et soucieuse d’améliorer son empreinte environnementale, l’OCDE s’est engagée dans un programme de développement durable autour de 5 objectifs prioritaires :</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Poursuivre la certification HQE®E de ses bâtiments,</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Favoriser les achats responsables,</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Réduire dans la durée l’utilisation des ressources naturelles : eau, papier et énergie,</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Suivre et diminuer les émissions de gaz à effet de serre,</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Gérer plus efficacement ses déchets, notamment en augmentant le tri sélectif et en assurant un meilleur suivi.</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En réponse au dernier engagement, le tri sélectif mis en place sur le papier il y a 8 ans, a été étendu depuis 3 ans, entre autre, aux cannettes, aux bouteilles en plastique, aux déchets organiques (cantine) et aux déchets d’équipements électriques et électroniques (DEEE). La collaboration avec </w:t>
                  </w:r>
                  <w:proofErr w:type="spellStart"/>
                  <w:r w:rsidRPr="00014A8E">
                    <w:rPr>
                      <w:rFonts w:ascii="Calibri" w:eastAsia="Times New Roman" w:hAnsi="Calibri" w:cs="Calibri"/>
                      <w:color w:val="404040"/>
                      <w:sz w:val="24"/>
                      <w:szCs w:val="24"/>
                      <w:lang w:eastAsia="fr-FR"/>
                    </w:rPr>
                    <w:t>Conibi</w:t>
                  </w:r>
                  <w:proofErr w:type="spellEnd"/>
                  <w:r w:rsidRPr="00014A8E">
                    <w:rPr>
                      <w:rFonts w:ascii="Calibri" w:eastAsia="Times New Roman" w:hAnsi="Calibri" w:cs="Calibri"/>
                      <w:color w:val="404040"/>
                      <w:sz w:val="24"/>
                      <w:szCs w:val="24"/>
                      <w:lang w:eastAsia="fr-FR"/>
                    </w:rPr>
                    <w:t> date de 2006, lorsque l’OCDE décide de confier la collecte et le recyclage de ses consommables au consortium réunissant les grandes marques de l’impression. Une collecte annuelle de plus de 3 500 kg.</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r w:rsidRPr="00014A8E">
                    <w:rPr>
                      <w:rFonts w:ascii="Calibri" w:eastAsia="Times New Roman" w:hAnsi="Calibri" w:cs="Calibri"/>
                      <w:i/>
                      <w:iCs/>
                      <w:color w:val="404040"/>
                      <w:sz w:val="24"/>
                      <w:szCs w:val="24"/>
                      <w:lang w:eastAsia="fr-FR"/>
                    </w:rPr>
                    <w:t xml:space="preserve">L’OCDE est passée à la vitesse supérieure sur le tri, le recyclage et le suivi de ses déchets. Nous travaillons avec différents organismes de qualité, dont CONIBI pour la partie « consommables ». Nous menons notamment une démarche de sensibilisation auprès de nos collaborateurs et invités pour les encourager à participer à cette démarche vertueuse. Nous éditons ainsi un guide du tri sélectif, diffusé auprès de nos 3 000 agents. Nous avons </w:t>
                  </w:r>
                  <w:r w:rsidRPr="00014A8E">
                    <w:rPr>
                      <w:rFonts w:ascii="Calibri" w:eastAsia="Times New Roman" w:hAnsi="Calibri" w:cs="Calibri"/>
                      <w:i/>
                      <w:iCs/>
                      <w:color w:val="404040"/>
                      <w:sz w:val="24"/>
                      <w:szCs w:val="24"/>
                      <w:lang w:eastAsia="fr-FR"/>
                    </w:rPr>
                    <w:lastRenderedPageBreak/>
                    <w:t>également disposé dans tous nos locaux des containers de tri avec des pictogrammes explicites. Enfin, nous valorisons les résultats de notre programme dans un rapport annuel environnemental autour de 8 indicateurs, dont 2 sont exclusivement liés aux déchets </w:t>
                  </w:r>
                  <w:r w:rsidRPr="00014A8E">
                    <w:rPr>
                      <w:rFonts w:ascii="Calibri" w:eastAsia="Times New Roman" w:hAnsi="Calibri" w:cs="Calibri"/>
                      <w:color w:val="404040"/>
                      <w:sz w:val="24"/>
                      <w:szCs w:val="24"/>
                      <w:lang w:eastAsia="fr-FR"/>
                    </w:rPr>
                    <w:t xml:space="preserve">», </w:t>
                  </w:r>
                  <w:proofErr w:type="spellStart"/>
                  <w:r w:rsidRPr="00014A8E">
                    <w:rPr>
                      <w:rFonts w:ascii="Calibri" w:eastAsia="Times New Roman" w:hAnsi="Calibri" w:cs="Calibri"/>
                      <w:color w:val="404040"/>
                      <w:sz w:val="24"/>
                      <w:szCs w:val="24"/>
                      <w:lang w:eastAsia="fr-FR"/>
                    </w:rPr>
                    <w:t>préciseLiisa</w:t>
                  </w:r>
                  <w:proofErr w:type="spellEnd"/>
                  <w:r w:rsidRPr="00014A8E">
                    <w:rPr>
                      <w:rFonts w:ascii="Calibri" w:eastAsia="Times New Roman" w:hAnsi="Calibri" w:cs="Calibri"/>
                      <w:color w:val="404040"/>
                      <w:sz w:val="24"/>
                      <w:szCs w:val="24"/>
                      <w:lang w:eastAsia="fr-FR"/>
                    </w:rPr>
                    <w:t>-Maija Harju, coordinatrice environnementale au sein de l’OCDE.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8"/>
                      <w:szCs w:val="28"/>
                      <w:lang w:eastAsia="fr-FR"/>
                    </w:rPr>
                    <w:t>Résoudre la difficile équation « impression + développement durable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L’OCDE est une organisation gourmande en papier, qui imprime de nombreux documents chaque année et dispose d’un service dédié internalisé.</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r w:rsidRPr="00014A8E">
                    <w:rPr>
                      <w:rFonts w:ascii="Calibri" w:eastAsia="Times New Roman" w:hAnsi="Calibri" w:cs="Calibri"/>
                      <w:i/>
                      <w:iCs/>
                      <w:color w:val="404040"/>
                      <w:sz w:val="24"/>
                      <w:szCs w:val="24"/>
                      <w:lang w:eastAsia="fr-FR"/>
                    </w:rPr>
                    <w:t>La réduction des impacts environnementaux liés à nos impressions est une exigence sur laquelle nous avons beaucoup investi. Depuis plusieurs années, nous utilisons du papier recyclé provenant d’une filière bois certifiée durable et nous imprimons en recto/verso. Récemment, nous avons installé des imprimantes multifonctions, qui nécessitent l’utilisation d’un badge. Cela nous permet de suivre les consommations individuellement et d’agir en conséquence. De plus, tous les documents sont stockés dans le serveur pendant 24h et, s’ils ne sont pas imprimés passé ce délai, ils sont automatiquement supprimés. Ces mesures nous ont déjà permis de réduire de 12% notre utilisation de papier</w:t>
                  </w:r>
                  <w:r w:rsidRPr="00014A8E">
                    <w:rPr>
                      <w:rFonts w:ascii="Calibri" w:eastAsia="Times New Roman" w:hAnsi="Calibri" w:cs="Calibri"/>
                      <w:color w:val="404040"/>
                      <w:sz w:val="24"/>
                      <w:szCs w:val="24"/>
                      <w:lang w:eastAsia="fr-FR"/>
                    </w:rPr>
                    <w:t> », souligne </w:t>
                  </w:r>
                  <w:proofErr w:type="spellStart"/>
                  <w:r w:rsidRPr="00014A8E">
                    <w:rPr>
                      <w:rFonts w:ascii="Calibri" w:eastAsia="Times New Roman" w:hAnsi="Calibri" w:cs="Calibri"/>
                      <w:color w:val="404040"/>
                      <w:sz w:val="24"/>
                      <w:szCs w:val="24"/>
                      <w:lang w:eastAsia="fr-FR"/>
                    </w:rPr>
                    <w:t>Liisa</w:t>
                  </w:r>
                  <w:proofErr w:type="spellEnd"/>
                  <w:r w:rsidRPr="00014A8E">
                    <w:rPr>
                      <w:rFonts w:ascii="Calibri" w:eastAsia="Times New Roman" w:hAnsi="Calibri" w:cs="Calibri"/>
                      <w:color w:val="404040"/>
                      <w:sz w:val="24"/>
                      <w:szCs w:val="24"/>
                      <w:lang w:eastAsia="fr-FR"/>
                    </w:rPr>
                    <w:t>-Maija Harju.</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Pour autant, le volume d’impression reste élevé, puisqu’il représente encore 240 tonnes chaque année. C’est pourquoi, en plus de recycler son papier, l’OCDE s’appuie sur CONIBI pour réduire encore plus son impact environnemental, en gérant au mieux la fin de vie de ses consommables d’impression. Ainsi, 11 bâtiments sont équipés d’</w:t>
                  </w:r>
                  <w:proofErr w:type="spellStart"/>
                  <w:r w:rsidRPr="00014A8E">
                    <w:rPr>
                      <w:rFonts w:ascii="Calibri" w:eastAsia="Times New Roman" w:hAnsi="Calibri" w:cs="Calibri"/>
                      <w:color w:val="404040"/>
                      <w:sz w:val="24"/>
                      <w:szCs w:val="24"/>
                      <w:lang w:eastAsia="fr-FR"/>
                    </w:rPr>
                    <w:t>Ecobox</w:t>
                  </w:r>
                  <w:proofErr w:type="spellEnd"/>
                  <w:r w:rsidRPr="00014A8E">
                    <w:rPr>
                      <w:rFonts w:ascii="Calibri" w:eastAsia="Times New Roman" w:hAnsi="Calibri" w:cs="Calibri"/>
                      <w:color w:val="404040"/>
                      <w:sz w:val="24"/>
                      <w:szCs w:val="24"/>
                      <w:lang w:eastAsia="fr-FR"/>
                    </w:rPr>
                    <w:t>®, des containers fournis par le consortium et dans lesquels les utilisateurs entreposent les cartouches usagées, quelle que soit leur marque. Des collectes programmées et régulières sont ensuite organisées par CONIBI, à raison d’une fois par semaine.</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8"/>
                      <w:szCs w:val="28"/>
                      <w:lang w:eastAsia="fr-FR"/>
                    </w:rPr>
                    <w:t>La traçabilité : un élément fort de la relation entre l’OCDE et CONIBI</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La priorité des responsables du développement durable de l’OCDE est d’obtenir une traçabilité totale sur les actions de recyclage engagées sur les déchets triés. Avec son système de </w:t>
                  </w:r>
                  <w:proofErr w:type="spellStart"/>
                  <w:r w:rsidRPr="00014A8E">
                    <w:rPr>
                      <w:rFonts w:ascii="Calibri" w:eastAsia="Times New Roman" w:hAnsi="Calibri" w:cs="Calibri"/>
                      <w:color w:val="404040"/>
                      <w:sz w:val="24"/>
                      <w:szCs w:val="24"/>
                      <w:lang w:eastAsia="fr-FR"/>
                    </w:rPr>
                    <w:t>reporting</w:t>
                  </w:r>
                  <w:proofErr w:type="spellEnd"/>
                  <w:r w:rsidRPr="00014A8E">
                    <w:rPr>
                      <w:rFonts w:ascii="Calibri" w:eastAsia="Times New Roman" w:hAnsi="Calibri" w:cs="Calibri"/>
                      <w:color w:val="404040"/>
                      <w:sz w:val="24"/>
                      <w:szCs w:val="24"/>
                      <w:lang w:eastAsia="fr-FR"/>
                    </w:rPr>
                    <w:t> annuel, très détaillé, CONIBI s’inscrit comme un partenaire de référence pour l’organisation.</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 </w:t>
                  </w:r>
                  <w:r w:rsidRPr="00014A8E">
                    <w:rPr>
                      <w:rFonts w:ascii="Calibri" w:eastAsia="Times New Roman" w:hAnsi="Calibri" w:cs="Calibri"/>
                      <w:i/>
                      <w:iCs/>
                      <w:sz w:val="24"/>
                      <w:szCs w:val="24"/>
                      <w:lang w:eastAsia="fr-FR"/>
                    </w:rPr>
                    <w:t>Non seulement le consortium traite nos consommables d’impression, mais il nous informe également avec précision des quantités collectées, de leur devenir et de l’impact positif de ces actions sur l’environnement. Nous avons l’assurance qu’une fois sortis de nos murs, ils ne sont pas ‘simplement’ jetés, mais recyclés ou valorisés. Nous sommes sensibilisés aux économies de CO</w:t>
                  </w:r>
                  <w:r w:rsidRPr="00014A8E">
                    <w:rPr>
                      <w:rFonts w:ascii="Calibri" w:eastAsia="Times New Roman" w:hAnsi="Calibri" w:cs="Calibri"/>
                      <w:i/>
                      <w:iCs/>
                      <w:sz w:val="24"/>
                      <w:szCs w:val="24"/>
                      <w:vertAlign w:val="subscript"/>
                      <w:lang w:eastAsia="fr-FR"/>
                    </w:rPr>
                    <w:t>2</w:t>
                  </w:r>
                  <w:r w:rsidRPr="00014A8E">
                    <w:rPr>
                      <w:rFonts w:ascii="Calibri" w:eastAsia="Times New Roman" w:hAnsi="Calibri" w:cs="Calibri"/>
                      <w:i/>
                      <w:iCs/>
                      <w:sz w:val="24"/>
                      <w:szCs w:val="24"/>
                      <w:lang w:eastAsia="fr-FR"/>
                    </w:rPr>
                    <w:t> réalisées et aux ressources naturelles économisées par le recyclage de nos cartouches. C’est un point essentiel de notre collaboration, d’autant que cela nous permet de piloter plus efficacement notre politique de gestion des déchets et d’informer les collaborateurs du succès de leurs efforts </w:t>
                  </w:r>
                  <w:r w:rsidRPr="00014A8E">
                    <w:rPr>
                      <w:rFonts w:ascii="Calibri" w:eastAsia="Times New Roman" w:hAnsi="Calibri" w:cs="Calibri"/>
                      <w:sz w:val="24"/>
                      <w:szCs w:val="24"/>
                      <w:lang w:eastAsia="fr-FR"/>
                    </w:rPr>
                    <w:t>», s’enthousiasme </w:t>
                  </w:r>
                  <w:proofErr w:type="spellStart"/>
                  <w:r w:rsidRPr="00014A8E">
                    <w:rPr>
                      <w:rFonts w:ascii="Calibri" w:eastAsia="Times New Roman" w:hAnsi="Calibri" w:cs="Calibri"/>
                      <w:sz w:val="24"/>
                      <w:szCs w:val="24"/>
                      <w:lang w:eastAsia="fr-FR"/>
                    </w:rPr>
                    <w:t>Liisa</w:t>
                  </w:r>
                  <w:proofErr w:type="spellEnd"/>
                  <w:r w:rsidRPr="00014A8E">
                    <w:rPr>
                      <w:rFonts w:ascii="Calibri" w:eastAsia="Times New Roman" w:hAnsi="Calibri" w:cs="Calibri"/>
                      <w:sz w:val="24"/>
                      <w:szCs w:val="24"/>
                      <w:lang w:eastAsia="fr-FR"/>
                    </w:rPr>
                    <w:t>-Maija Harju.</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FF000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4"/>
                      <w:szCs w:val="24"/>
                      <w:lang w:eastAsia="fr-FR"/>
                    </w:rPr>
                    <w:t>Chiffres clés 2014 CONIBI/OCDE</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50 collectes en moyenne par an</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2 716 consommables </w:t>
                  </w:r>
                  <w:proofErr w:type="gramStart"/>
                  <w:r w:rsidRPr="00014A8E">
                    <w:rPr>
                      <w:rFonts w:ascii="Calibri" w:eastAsia="Times New Roman" w:hAnsi="Calibri" w:cs="Calibri"/>
                      <w:color w:val="404040"/>
                      <w:sz w:val="24"/>
                      <w:szCs w:val="24"/>
                      <w:lang w:eastAsia="fr-FR"/>
                    </w:rPr>
                    <w:t>d’impression collectés</w:t>
                  </w:r>
                  <w:proofErr w:type="gramEnd"/>
                  <w:r w:rsidRPr="00014A8E">
                    <w:rPr>
                      <w:rFonts w:ascii="Calibri" w:eastAsia="Times New Roman" w:hAnsi="Calibri" w:cs="Calibri"/>
                      <w:color w:val="404040"/>
                      <w:sz w:val="24"/>
                      <w:szCs w:val="24"/>
                      <w:lang w:eastAsia="fr-FR"/>
                    </w:rPr>
                    <w:t> en 2014, soit 3,5T de déchets</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Symbol" w:eastAsia="Times New Roman" w:hAnsi="Symbol"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100% des consommables recyclés ou valorisés, dont :</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Wingdings" w:eastAsia="Times New Roman" w:hAnsi="Wingdings" w:cs="Calibri"/>
                      <w:color w:val="404040"/>
                      <w:sz w:val="24"/>
                      <w:szCs w:val="24"/>
                      <w:lang w:eastAsia="fr-FR"/>
                    </w:rPr>
                    <w:lastRenderedPageBreak/>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363 kg de consommables réutilisés</w:t>
                  </w:r>
                </w:p>
                <w:p w:rsidR="00014A8E" w:rsidRPr="00014A8E" w:rsidRDefault="00014A8E" w:rsidP="00014A8E">
                  <w:pPr>
                    <w:spacing w:after="0" w:line="253" w:lineRule="atLeast"/>
                    <w:ind w:left="720" w:hanging="360"/>
                    <w:jc w:val="both"/>
                    <w:rPr>
                      <w:rFonts w:ascii="Calibri" w:eastAsia="Times New Roman" w:hAnsi="Calibri" w:cs="Calibri"/>
                      <w:lang w:eastAsia="fr-FR"/>
                    </w:rPr>
                  </w:pPr>
                  <w:r w:rsidRPr="00014A8E">
                    <w:rPr>
                      <w:rFonts w:ascii="Wingdings" w:eastAsia="Times New Roman" w:hAnsi="Wingdings"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2,3T de consommables et emballages valorisés en matière</w:t>
                  </w:r>
                </w:p>
                <w:p w:rsidR="00014A8E" w:rsidRPr="00014A8E" w:rsidRDefault="00014A8E" w:rsidP="00014A8E">
                  <w:pPr>
                    <w:spacing w:line="253" w:lineRule="atLeast"/>
                    <w:ind w:left="720" w:hanging="360"/>
                    <w:jc w:val="both"/>
                    <w:rPr>
                      <w:rFonts w:ascii="Calibri" w:eastAsia="Times New Roman" w:hAnsi="Calibri" w:cs="Calibri"/>
                      <w:lang w:eastAsia="fr-FR"/>
                    </w:rPr>
                  </w:pPr>
                  <w:r w:rsidRPr="00014A8E">
                    <w:rPr>
                      <w:rFonts w:ascii="Wingdings" w:eastAsia="Times New Roman" w:hAnsi="Wingdings" w:cs="Calibri"/>
                      <w:color w:val="404040"/>
                      <w:sz w:val="24"/>
                      <w:szCs w:val="24"/>
                      <w:lang w:eastAsia="fr-FR"/>
                    </w:rPr>
                    <w:t></w:t>
                  </w:r>
                  <w:r w:rsidRPr="00014A8E">
                    <w:rPr>
                      <w:rFonts w:ascii="Times New Roman" w:eastAsia="Times New Roman" w:hAnsi="Times New Roman" w:cs="Times New Roman"/>
                      <w:color w:val="404040"/>
                      <w:sz w:val="14"/>
                      <w:szCs w:val="14"/>
                      <w:lang w:eastAsia="fr-FR"/>
                    </w:rPr>
                    <w:t>  </w:t>
                  </w:r>
                  <w:r w:rsidRPr="00014A8E">
                    <w:rPr>
                      <w:rFonts w:ascii="Calibri" w:eastAsia="Times New Roman" w:hAnsi="Calibri" w:cs="Calibri"/>
                      <w:color w:val="404040"/>
                      <w:sz w:val="24"/>
                      <w:szCs w:val="24"/>
                      <w:lang w:eastAsia="fr-FR"/>
                    </w:rPr>
                    <w:t>1T de consommables valorisés en énergie</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4"/>
                      <w:szCs w:val="24"/>
                      <w:lang w:eastAsia="fr-FR"/>
                    </w:rPr>
                    <w:t>L'économie de CO</w:t>
                  </w:r>
                  <w:r w:rsidRPr="00014A8E">
                    <w:rPr>
                      <w:rFonts w:ascii="Calibri" w:eastAsia="Times New Roman" w:hAnsi="Calibri" w:cs="Calibri"/>
                      <w:b/>
                      <w:bCs/>
                      <w:color w:val="404040"/>
                      <w:sz w:val="24"/>
                      <w:szCs w:val="24"/>
                      <w:vertAlign w:val="subscript"/>
                      <w:lang w:eastAsia="fr-FR"/>
                    </w:rPr>
                    <w:t>2</w:t>
                  </w:r>
                  <w:r w:rsidRPr="00014A8E">
                    <w:rPr>
                      <w:rFonts w:ascii="Calibri" w:eastAsia="Times New Roman" w:hAnsi="Calibri" w:cs="Calibri"/>
                      <w:b/>
                      <w:bCs/>
                      <w:color w:val="404040"/>
                      <w:sz w:val="24"/>
                      <w:szCs w:val="24"/>
                      <w:lang w:eastAsia="fr-FR"/>
                    </w:rPr>
                    <w:t> réalisée en 2014 équivaut à un trajet de 18 790 km en voiture.</w:t>
                  </w:r>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 </w:t>
                  </w:r>
                </w:p>
              </w:tc>
            </w:tr>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0"/>
                      <w:szCs w:val="20"/>
                      <w:lang w:eastAsia="fr-FR"/>
                    </w:rPr>
                    <w:lastRenderedPageBreak/>
                    <w:t>Mieux comprendre l’activité de l’OCDE</w:t>
                  </w:r>
                </w:p>
                <w:p w:rsidR="00014A8E" w:rsidRPr="00014A8E" w:rsidRDefault="00014A8E" w:rsidP="00014A8E">
                  <w:pPr>
                    <w:spacing w:after="0" w:line="276" w:lineRule="atLeast"/>
                    <w:jc w:val="both"/>
                    <w:rPr>
                      <w:rFonts w:ascii="Times New Roman" w:eastAsia="Times New Roman" w:hAnsi="Times New Roman" w:cs="Times New Roman"/>
                      <w:sz w:val="24"/>
                      <w:szCs w:val="24"/>
                      <w:lang w:eastAsia="fr-FR"/>
                    </w:rPr>
                  </w:pPr>
                  <w:r w:rsidRPr="00014A8E">
                    <w:rPr>
                      <w:rFonts w:ascii="Calibri" w:eastAsia="Times New Roman" w:hAnsi="Calibri" w:cs="Calibri"/>
                      <w:color w:val="404040"/>
                      <w:sz w:val="20"/>
                      <w:szCs w:val="20"/>
                      <w:lang w:eastAsia="fr-FR"/>
                    </w:rPr>
                    <w:t xml:space="preserve">L’Organisation de Coopération et de Développement </w:t>
                  </w:r>
                  <w:proofErr w:type="spellStart"/>
                  <w:r w:rsidRPr="00014A8E">
                    <w:rPr>
                      <w:rFonts w:ascii="Calibri" w:eastAsia="Times New Roman" w:hAnsi="Calibri" w:cs="Calibri"/>
                      <w:color w:val="404040"/>
                      <w:sz w:val="20"/>
                      <w:szCs w:val="20"/>
                      <w:lang w:eastAsia="fr-FR"/>
                    </w:rPr>
                    <w:t>Economiques</w:t>
                  </w:r>
                  <w:proofErr w:type="spellEnd"/>
                  <w:r w:rsidRPr="00014A8E">
                    <w:rPr>
                      <w:rFonts w:ascii="Calibri" w:eastAsia="Times New Roman" w:hAnsi="Calibri" w:cs="Calibri"/>
                      <w:color w:val="404040"/>
                      <w:sz w:val="20"/>
                      <w:szCs w:val="20"/>
                      <w:lang w:eastAsia="fr-FR"/>
                    </w:rPr>
                    <w:t xml:space="preserve"> (OCDE) est une organisation de coopération pour les gouvernements des 34 pays membres. Siégeant à Paris, elle a pour mission d’aider les gouvernements à réaliser une croissance durable de l'économie et de l'emploi, de favoriser la progression du niveau de vie dans les pays membres, ainsi que dans le reste du monde, et de contribuer ainsi au développement de l'économie mondiale. La coopération s’effectue sur les bases de l’économie de marché.</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4"/>
                      <w:szCs w:val="24"/>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0"/>
                      <w:szCs w:val="20"/>
                      <w:lang w:eastAsia="fr-FR"/>
                    </w:rPr>
                    <w:t>Pour en savoir plus : www.ocde.org</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0"/>
                      <w:szCs w:val="20"/>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0"/>
                      <w:szCs w:val="20"/>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76923C"/>
                      <w:sz w:val="20"/>
                      <w:szCs w:val="20"/>
                      <w:lang w:eastAsia="fr-FR"/>
                    </w:rPr>
                    <w:t>Mieux comprendre l’activité de CONIBI</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color w:val="404040"/>
                      <w:sz w:val="20"/>
                      <w:szCs w:val="20"/>
                      <w:lang w:val="fr-CA" w:eastAsia="fr-FR"/>
                    </w:rPr>
                    <w:t>Créé en 2000, CONIBI est un consortium réunissant les plus grandes marques et les principaux fournisseurs de solutions d’impression. Expert du recyclage des consommables usagés des entreprises, il collecte, trie, recycle et valorise les déchets de consommables informatiques et bureautiques. CONIBI est membre du Syndicat National des Entreprises de Systèmes et Solutions d'Impression (SNESSI) et certifié ISO 9001 et 14001</w:t>
                  </w:r>
                  <w:proofErr w:type="gramStart"/>
                  <w:r w:rsidRPr="00014A8E">
                    <w:rPr>
                      <w:rFonts w:ascii="Calibri" w:eastAsia="Times New Roman" w:hAnsi="Calibri" w:cs="Calibri"/>
                      <w:color w:val="404040"/>
                      <w:sz w:val="20"/>
                      <w:szCs w:val="20"/>
                      <w:lang w:val="fr-CA" w:eastAsia="fr-FR"/>
                    </w:rPr>
                    <w:t>..</w:t>
                  </w:r>
                  <w:proofErr w:type="gramEnd"/>
                  <w:r w:rsidRPr="00014A8E">
                    <w:rPr>
                      <w:rFonts w:ascii="Calibri" w:eastAsia="Times New Roman" w:hAnsi="Calibri" w:cs="Calibri"/>
                      <w:color w:val="404040"/>
                      <w:sz w:val="20"/>
                      <w:szCs w:val="20"/>
                      <w:lang w:val="fr-CA" w:eastAsia="fr-FR"/>
                    </w:rPr>
                    <w:t> </w:t>
                  </w:r>
                  <w:r w:rsidRPr="00014A8E">
                    <w:rPr>
                      <w:rFonts w:ascii="Calibri" w:eastAsia="Times New Roman" w:hAnsi="Calibri" w:cs="Calibri"/>
                      <w:b/>
                      <w:bCs/>
                      <w:color w:val="404040"/>
                      <w:sz w:val="20"/>
                      <w:szCs w:val="20"/>
                      <w:lang w:eastAsia="fr-FR"/>
                    </w:rPr>
                    <w:t>En 2014, CONIBI a collecté plus de 1 800 tonnes de cartouches d’impression.</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0"/>
                      <w:szCs w:val="20"/>
                      <w:lang w:eastAsia="fr-FR"/>
                    </w:rPr>
                    <w:t> </w:t>
                  </w:r>
                </w:p>
                <w:p w:rsidR="00014A8E" w:rsidRPr="00014A8E" w:rsidRDefault="00014A8E" w:rsidP="00014A8E">
                  <w:pPr>
                    <w:spacing w:after="0" w:line="240" w:lineRule="auto"/>
                    <w:jc w:val="both"/>
                    <w:rPr>
                      <w:rFonts w:ascii="Cambria" w:eastAsia="Times New Roman" w:hAnsi="Cambria" w:cs="Times New Roman"/>
                      <w:sz w:val="24"/>
                      <w:szCs w:val="24"/>
                      <w:lang w:eastAsia="fr-FR"/>
                    </w:rPr>
                  </w:pPr>
                  <w:r w:rsidRPr="00014A8E">
                    <w:rPr>
                      <w:rFonts w:ascii="Calibri" w:eastAsia="Times New Roman" w:hAnsi="Calibri" w:cs="Calibri"/>
                      <w:b/>
                      <w:bCs/>
                      <w:color w:val="404040"/>
                      <w:sz w:val="20"/>
                      <w:szCs w:val="20"/>
                      <w:lang w:eastAsia="fr-FR"/>
                    </w:rPr>
                    <w:t>Pour en savoir plus : www.conibi.fr</w:t>
                  </w:r>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mbria" w:eastAsia="Times New Roman" w:hAnsi="Cambria" w:cs="Times New Roman"/>
                      <w:sz w:val="24"/>
                      <w:szCs w:val="24"/>
                      <w:lang w:eastAsia="fr-FR"/>
                    </w:rPr>
                    <w:t> </w:t>
                  </w:r>
                </w:p>
              </w:tc>
            </w:tr>
            <w:tr w:rsidR="00014A8E" w:rsidRPr="00014A8E" w:rsidTr="00014A8E">
              <w:tc>
                <w:tcPr>
                  <w:tcW w:w="9206" w:type="dxa"/>
                  <w:shd w:val="clear" w:color="auto" w:fill="FFFFFF"/>
                  <w:tcMar>
                    <w:top w:w="0" w:type="dxa"/>
                    <w:left w:w="108" w:type="dxa"/>
                    <w:bottom w:w="0" w:type="dxa"/>
                    <w:right w:w="108" w:type="dxa"/>
                  </w:tcMar>
                  <w:hideMark/>
                </w:tcPr>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Contact presse</w:t>
                  </w:r>
                </w:p>
                <w:p w:rsidR="00014A8E" w:rsidRPr="00014A8E" w:rsidRDefault="00014A8E" w:rsidP="00014A8E">
                  <w:pPr>
                    <w:spacing w:after="0" w:line="240" w:lineRule="auto"/>
                    <w:rPr>
                      <w:rFonts w:ascii="Cambria" w:eastAsia="Times New Roman" w:hAnsi="Cambria" w:cs="Times New Roman"/>
                      <w:sz w:val="24"/>
                      <w:szCs w:val="24"/>
                      <w:lang w:eastAsia="fr-FR"/>
                    </w:rPr>
                  </w:pPr>
                  <w:proofErr w:type="spellStart"/>
                  <w:r w:rsidRPr="00014A8E">
                    <w:rPr>
                      <w:rFonts w:ascii="Calibri" w:eastAsia="Times New Roman" w:hAnsi="Calibri" w:cs="Calibri"/>
                      <w:sz w:val="24"/>
                      <w:szCs w:val="24"/>
                      <w:lang w:eastAsia="fr-FR"/>
                    </w:rPr>
                    <w:t>Aressy</w:t>
                  </w:r>
                  <w:proofErr w:type="spellEnd"/>
                  <w:r w:rsidRPr="00014A8E">
                    <w:rPr>
                      <w:rFonts w:ascii="Calibri" w:eastAsia="Times New Roman" w:hAnsi="Calibri" w:cs="Calibri"/>
                      <w:sz w:val="24"/>
                      <w:szCs w:val="24"/>
                      <w:lang w:eastAsia="fr-FR"/>
                    </w:rPr>
                    <w:t> RP</w:t>
                  </w:r>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Laura Le </w:t>
                  </w:r>
                  <w:proofErr w:type="spellStart"/>
                  <w:r w:rsidRPr="00014A8E">
                    <w:rPr>
                      <w:rFonts w:ascii="Calibri" w:eastAsia="Times New Roman" w:hAnsi="Calibri" w:cs="Calibri"/>
                      <w:sz w:val="24"/>
                      <w:szCs w:val="24"/>
                      <w:lang w:eastAsia="fr-FR"/>
                    </w:rPr>
                    <w:t>Bourdonnec</w:t>
                  </w:r>
                  <w:proofErr w:type="spellEnd"/>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01 85 76 12 08</w:t>
                  </w:r>
                </w:p>
                <w:p w:rsidR="00014A8E" w:rsidRPr="00014A8E" w:rsidRDefault="00014A8E" w:rsidP="00014A8E">
                  <w:pPr>
                    <w:spacing w:after="0" w:line="240" w:lineRule="auto"/>
                    <w:rPr>
                      <w:rFonts w:ascii="Cambria" w:eastAsia="Times New Roman" w:hAnsi="Cambria" w:cs="Times New Roman"/>
                      <w:sz w:val="24"/>
                      <w:szCs w:val="24"/>
                      <w:lang w:eastAsia="fr-FR"/>
                    </w:rPr>
                  </w:pPr>
                  <w:r w:rsidRPr="00014A8E">
                    <w:rPr>
                      <w:rFonts w:ascii="Calibri" w:eastAsia="Times New Roman" w:hAnsi="Calibri" w:cs="Calibri"/>
                      <w:sz w:val="24"/>
                      <w:szCs w:val="24"/>
                      <w:lang w:eastAsia="fr-FR"/>
                    </w:rPr>
                    <w:t>l.lebourdonnec@aressy-rp.com</w:t>
                  </w:r>
                </w:p>
              </w:tc>
            </w:tr>
          </w:tbl>
          <w:p w:rsidR="00014A8E" w:rsidRPr="00014A8E" w:rsidRDefault="00014A8E" w:rsidP="00014A8E">
            <w:pPr>
              <w:spacing w:after="0" w:line="240" w:lineRule="auto"/>
              <w:jc w:val="center"/>
              <w:rPr>
                <w:rFonts w:ascii="Cambria" w:eastAsia="Times New Roman" w:hAnsi="Cambria" w:cs="Times New Roman"/>
                <w:color w:val="000000"/>
                <w:sz w:val="24"/>
                <w:szCs w:val="24"/>
                <w:lang w:eastAsia="fr-FR"/>
              </w:rPr>
            </w:pPr>
            <w:bookmarkStart w:id="0" w:name="_GoBack"/>
            <w:bookmarkEnd w:id="0"/>
          </w:p>
        </w:tc>
      </w:tr>
      <w:tr w:rsidR="00014A8E" w:rsidRPr="00014A8E" w:rsidTr="00014A8E">
        <w:tc>
          <w:tcPr>
            <w:tcW w:w="9206" w:type="dxa"/>
            <w:shd w:val="clear" w:color="auto" w:fill="FFFFFF"/>
            <w:tcMar>
              <w:top w:w="0" w:type="dxa"/>
              <w:left w:w="108" w:type="dxa"/>
              <w:bottom w:w="0" w:type="dxa"/>
              <w:right w:w="108" w:type="dxa"/>
            </w:tcMar>
          </w:tcPr>
          <w:p w:rsidR="00014A8E" w:rsidRPr="00014A8E" w:rsidRDefault="00014A8E" w:rsidP="00014A8E">
            <w:pPr>
              <w:spacing w:after="0" w:line="240" w:lineRule="auto"/>
              <w:rPr>
                <w:rFonts w:ascii="Cambria" w:eastAsia="Times New Roman" w:hAnsi="Cambria" w:cs="Times New Roman"/>
                <w:color w:val="000000"/>
                <w:sz w:val="24"/>
                <w:szCs w:val="24"/>
                <w:lang w:eastAsia="fr-FR"/>
              </w:rPr>
            </w:pPr>
          </w:p>
        </w:tc>
      </w:tr>
      <w:tr w:rsidR="00014A8E" w:rsidRPr="00014A8E" w:rsidTr="00014A8E">
        <w:tc>
          <w:tcPr>
            <w:tcW w:w="9206" w:type="dxa"/>
            <w:shd w:val="clear" w:color="auto" w:fill="FFFFFF"/>
            <w:tcMar>
              <w:top w:w="0" w:type="dxa"/>
              <w:left w:w="108" w:type="dxa"/>
              <w:bottom w:w="0" w:type="dxa"/>
              <w:right w:w="108" w:type="dxa"/>
            </w:tcMar>
          </w:tcPr>
          <w:p w:rsidR="00014A8E" w:rsidRPr="00014A8E" w:rsidRDefault="00014A8E" w:rsidP="00014A8E">
            <w:pPr>
              <w:spacing w:after="0" w:line="240" w:lineRule="auto"/>
              <w:rPr>
                <w:rFonts w:ascii="Cambria" w:eastAsia="Times New Roman" w:hAnsi="Cambria" w:cs="Times New Roman"/>
                <w:color w:val="000000"/>
                <w:sz w:val="24"/>
                <w:szCs w:val="24"/>
                <w:lang w:eastAsia="fr-FR"/>
              </w:rPr>
            </w:pPr>
          </w:p>
        </w:tc>
      </w:tr>
      <w:tr w:rsidR="00014A8E" w:rsidRPr="00014A8E" w:rsidTr="00014A8E">
        <w:tc>
          <w:tcPr>
            <w:tcW w:w="9206" w:type="dxa"/>
            <w:shd w:val="clear" w:color="auto" w:fill="FFFFFF"/>
            <w:tcMar>
              <w:top w:w="0" w:type="dxa"/>
              <w:left w:w="108" w:type="dxa"/>
              <w:bottom w:w="0" w:type="dxa"/>
              <w:right w:w="108" w:type="dxa"/>
            </w:tcMar>
          </w:tcPr>
          <w:p w:rsidR="00014A8E" w:rsidRPr="00014A8E" w:rsidRDefault="00014A8E" w:rsidP="00014A8E">
            <w:pPr>
              <w:spacing w:after="0" w:line="240" w:lineRule="auto"/>
              <w:rPr>
                <w:rFonts w:ascii="Cambria" w:eastAsia="Times New Roman" w:hAnsi="Cambria" w:cs="Times New Roman"/>
                <w:color w:val="000000"/>
                <w:sz w:val="24"/>
                <w:szCs w:val="24"/>
                <w:lang w:eastAsia="fr-FR"/>
              </w:rPr>
            </w:pPr>
          </w:p>
        </w:tc>
      </w:tr>
      <w:tr w:rsidR="00014A8E" w:rsidRPr="00014A8E" w:rsidTr="00014A8E">
        <w:tc>
          <w:tcPr>
            <w:tcW w:w="9206" w:type="dxa"/>
            <w:shd w:val="clear" w:color="auto" w:fill="FFFFFF"/>
            <w:tcMar>
              <w:top w:w="0" w:type="dxa"/>
              <w:left w:w="108" w:type="dxa"/>
              <w:bottom w:w="0" w:type="dxa"/>
              <w:right w:w="108" w:type="dxa"/>
            </w:tcMar>
          </w:tcPr>
          <w:p w:rsidR="00014A8E" w:rsidRPr="00014A8E" w:rsidRDefault="00014A8E" w:rsidP="00014A8E">
            <w:pPr>
              <w:spacing w:after="0" w:line="240" w:lineRule="auto"/>
              <w:rPr>
                <w:rFonts w:ascii="Cambria" w:eastAsia="Times New Roman" w:hAnsi="Cambria" w:cs="Times New Roman"/>
                <w:color w:val="000000"/>
                <w:sz w:val="24"/>
                <w:szCs w:val="24"/>
                <w:lang w:eastAsia="fr-FR"/>
              </w:rPr>
            </w:pPr>
          </w:p>
        </w:tc>
      </w:tr>
    </w:tbl>
    <w:p w:rsidR="00FF767C" w:rsidRDefault="00FF767C"/>
    <w:sectPr w:rsidR="00FF7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8E"/>
    <w:rsid w:val="00014A8E"/>
    <w:rsid w:val="00117AAA"/>
    <w:rsid w:val="00195F6C"/>
    <w:rsid w:val="001E3568"/>
    <w:rsid w:val="00376252"/>
    <w:rsid w:val="007C0879"/>
    <w:rsid w:val="008E6C12"/>
    <w:rsid w:val="00947DC6"/>
    <w:rsid w:val="009E6135"/>
    <w:rsid w:val="00A06043"/>
    <w:rsid w:val="00AD0181"/>
    <w:rsid w:val="00BF645F"/>
    <w:rsid w:val="00CD4FC6"/>
    <w:rsid w:val="00E04F2A"/>
    <w:rsid w:val="00FF7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14A8E"/>
  </w:style>
  <w:style w:type="character" w:customStyle="1" w:styleId="grame">
    <w:name w:val="grame"/>
    <w:basedOn w:val="Policepardfaut"/>
    <w:rsid w:val="00014A8E"/>
  </w:style>
  <w:style w:type="paragraph" w:styleId="Paragraphedeliste">
    <w:name w:val="List Paragraph"/>
    <w:basedOn w:val="Normal"/>
    <w:uiPriority w:val="34"/>
    <w:qFormat/>
    <w:rsid w:val="00014A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elle">
    <w:name w:val="spelle"/>
    <w:basedOn w:val="Policepardfaut"/>
    <w:rsid w:val="00014A8E"/>
  </w:style>
  <w:style w:type="paragraph" w:customStyle="1" w:styleId="lead">
    <w:name w:val="lead"/>
    <w:basedOn w:val="Normal"/>
    <w:rsid w:val="00014A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A8E"/>
    <w:rPr>
      <w:b/>
      <w:bCs/>
    </w:rPr>
  </w:style>
  <w:style w:type="paragraph" w:styleId="Textedebulles">
    <w:name w:val="Balloon Text"/>
    <w:basedOn w:val="Normal"/>
    <w:link w:val="TextedebullesCar"/>
    <w:uiPriority w:val="99"/>
    <w:semiHidden/>
    <w:unhideWhenUsed/>
    <w:rsid w:val="00014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14A8E"/>
  </w:style>
  <w:style w:type="character" w:customStyle="1" w:styleId="grame">
    <w:name w:val="grame"/>
    <w:basedOn w:val="Policepardfaut"/>
    <w:rsid w:val="00014A8E"/>
  </w:style>
  <w:style w:type="paragraph" w:styleId="Paragraphedeliste">
    <w:name w:val="List Paragraph"/>
    <w:basedOn w:val="Normal"/>
    <w:uiPriority w:val="34"/>
    <w:qFormat/>
    <w:rsid w:val="00014A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elle">
    <w:name w:val="spelle"/>
    <w:basedOn w:val="Policepardfaut"/>
    <w:rsid w:val="00014A8E"/>
  </w:style>
  <w:style w:type="paragraph" w:customStyle="1" w:styleId="lead">
    <w:name w:val="lead"/>
    <w:basedOn w:val="Normal"/>
    <w:rsid w:val="00014A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A8E"/>
    <w:rPr>
      <w:b/>
      <w:bCs/>
    </w:rPr>
  </w:style>
  <w:style w:type="paragraph" w:styleId="Textedebulles">
    <w:name w:val="Balloon Text"/>
    <w:basedOn w:val="Normal"/>
    <w:link w:val="TextedebullesCar"/>
    <w:uiPriority w:val="99"/>
    <w:semiHidden/>
    <w:unhideWhenUsed/>
    <w:rsid w:val="00014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74182">
      <w:bodyDiv w:val="1"/>
      <w:marLeft w:val="0"/>
      <w:marRight w:val="0"/>
      <w:marTop w:val="0"/>
      <w:marBottom w:val="0"/>
      <w:divBdr>
        <w:top w:val="none" w:sz="0" w:space="0" w:color="auto"/>
        <w:left w:val="none" w:sz="0" w:space="0" w:color="auto"/>
        <w:bottom w:val="none" w:sz="0" w:space="0" w:color="auto"/>
        <w:right w:val="none" w:sz="0" w:space="0" w:color="auto"/>
      </w:divBdr>
    </w:div>
    <w:div w:id="20953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isabelle guilloux</dc:creator>
  <cp:lastModifiedBy>anne isabelle guilloux</cp:lastModifiedBy>
  <cp:revision>1</cp:revision>
  <dcterms:created xsi:type="dcterms:W3CDTF">2015-07-07T10:28:00Z</dcterms:created>
  <dcterms:modified xsi:type="dcterms:W3CDTF">2015-07-07T10:28:00Z</dcterms:modified>
</cp:coreProperties>
</file>